
<file path=[Content_Types].xml><?xml version="1.0" encoding="utf-8"?>
<Types xmlns="http://schemas.openxmlformats.org/package/2006/content-types">
  <Default Extension="bmp" ContentType="image/bmp"/>
  <Default Extension="gif" ContentType="image/gif"/>
  <Default Extension="jpeg" ContentType="image/jpg"/>
  <Default Extension="mov" ContentType="application/movie"/>
  <Default Extension="pdf" ContentType="application/pdf"/>
  <Default Extension="png" ContentType="image/png"/>
  <Default Extension="rels" ContentType="application/vnd.openxmlformats-package.relationships+xml"/>
  <Default Extension="tif" ContentType="image/tif"/>
  <Default Extension="vml" ContentType="application/vnd.openxmlformats-officedocument.vmlDrawing"/>
  <Default Extension="xlsx" ContentType="application/vnd.openxmlformats-officedocument.spreadsheetml.sheet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officeDocument" Target="word/document.xml"/>
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ormal.0"/>
        <w:rPr>
          <w:sz w:val="24"/>
          <w:szCs w:val="24"/>
          <w:u w:val="single"/>
        </w:rPr>
      </w:pPr>
      <w:r>
        <w:rPr>
          <w:b w:val="1"/>
          <w:bCs w:val="1"/>
          <w:sz w:val="24"/>
          <w:szCs w:val="24"/>
          <w:rtl w:val="0"/>
          <w:lang w:val="en-US"/>
        </w:rPr>
        <w:t xml:space="preserve">Learning Team Assignment: </w:t>
      </w:r>
      <w:r>
        <w:rPr>
          <w:sz w:val="24"/>
          <w:szCs w:val="24"/>
          <w:rtl w:val="0"/>
          <w:lang w:val="en-US"/>
        </w:rPr>
        <w:t>Short-Run Economic Fluctuations</w:t>
      </w:r>
    </w:p>
    <w:p>
      <w:pPr>
        <w:pStyle w:val="Normal.0"/>
      </w:pPr>
    </w:p>
    <w:p>
      <w:pPr>
        <w:pStyle w:val="Normal.0"/>
        <w:tabs>
          <w:tab w:val="left" w:pos="360"/>
        </w:tabs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Purpose of Assignment</w:t>
      </w:r>
    </w:p>
    <w:p>
      <w:pPr>
        <w:pStyle w:val="Normal.0"/>
        <w:tabs>
          <w:tab w:val="left" w:pos="360"/>
        </w:tabs>
        <w:ind w:left="360" w:firstLine="0"/>
      </w:pPr>
    </w:p>
    <w:p>
      <w:pPr>
        <w:pStyle w:val="Normal.0"/>
        <w:tabs>
          <w:tab w:val="left" w:pos="360"/>
        </w:tabs>
        <w:rPr>
          <w:color w:val="000000"/>
          <w:u w:color="000000"/>
        </w:rPr>
      </w:pPr>
      <w:r>
        <w:rPr>
          <w:color w:val="000000"/>
          <w:u w:color="000000"/>
          <w:rtl w:val="0"/>
          <w:lang w:val="en-US"/>
        </w:rPr>
        <w:t>Students will example the model economists use to analyze the economy</w:t>
      </w:r>
      <w:r>
        <w:rPr>
          <w:color w:val="000000"/>
          <w:u w:color="000000"/>
          <w:rtl w:val="0"/>
          <w:lang w:val="en-US"/>
        </w:rPr>
        <w:t>’</w:t>
      </w:r>
      <w:r>
        <w:rPr>
          <w:color w:val="000000"/>
          <w:u w:color="000000"/>
          <w:rtl w:val="0"/>
          <w:lang w:val="en-US"/>
        </w:rPr>
        <w:t>s short-run fluctuations</w:t>
      </w:r>
      <w:r>
        <w:rPr>
          <w:color w:val="000000"/>
          <w:u w:color="000000"/>
          <w:rtl w:val="0"/>
          <w:lang w:val="en-US"/>
        </w:rPr>
        <w:t>—</w:t>
      </w:r>
      <w:r>
        <w:rPr>
          <w:color w:val="000000"/>
          <w:u w:color="000000"/>
          <w:rtl w:val="0"/>
          <w:lang w:val="en-US"/>
        </w:rPr>
        <w:t xml:space="preserve">the model of aggregate demand and aggregate supply. Students will learn about some of the sources for shifts in the aggregate-demand curve and the aggregate-supply curve and how these shifts can cause fluctuations in output.  Students will be introduced to actions policymakers might undertake to offset such fluctuations.  Students will see why there is a temporary trade-off between inflation and unemployment, and why there is no permanent trade-off. </w:t>
      </w:r>
    </w:p>
    <w:p>
      <w:pPr>
        <w:pStyle w:val="Normal.0"/>
        <w:tabs>
          <w:tab w:val="left" w:pos="360"/>
        </w:tabs>
        <w:ind w:left="360" w:firstLine="0"/>
      </w:pPr>
    </w:p>
    <w:p>
      <w:pPr>
        <w:pStyle w:val="Normal.0"/>
        <w:tabs>
          <w:tab w:val="left" w:pos="360"/>
        </w:tabs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Resources Required</w:t>
      </w:r>
    </w:p>
    <w:p>
      <w:pPr>
        <w:pStyle w:val="Normal.0"/>
        <w:tabs>
          <w:tab w:val="left" w:pos="360"/>
        </w:tabs>
        <w:ind w:left="360" w:firstLine="0"/>
        <w:rPr>
          <w:b w:val="1"/>
          <w:bCs w:val="1"/>
        </w:rPr>
      </w:pPr>
    </w:p>
    <w:p>
      <w:pPr>
        <w:pStyle w:val="Normal.0"/>
        <w:spacing w:after="200" w:line="276" w:lineRule="auto"/>
        <w:rPr>
          <w:color w:val="000000"/>
          <w:u w:color="000000"/>
        </w:rPr>
      </w:pPr>
      <w:r>
        <w:rPr>
          <w:color w:val="000000"/>
          <w:u w:color="000000"/>
          <w:rtl w:val="0"/>
          <w:lang w:val="en-US"/>
        </w:rPr>
        <w:t>National Bureau of Economic Research</w:t>
      </w:r>
    </w:p>
    <w:p>
      <w:pPr>
        <w:pStyle w:val="UPhx Body Text 2"/>
        <w:spacing w:before="0" w:after="0"/>
        <w:ind w:left="0" w:firstLine="0"/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"http://www.nber.org/links/gov.html"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http://www.nber.org/links/gov.html</w:t>
      </w:r>
      <w:r>
        <w:rPr/>
        <w:fldChar w:fldCharType="end" w:fldLock="0"/>
      </w:r>
    </w:p>
    <w:p>
      <w:pPr>
        <w:pStyle w:val="UPhx Body Text 2"/>
        <w:spacing w:before="0" w:after="0"/>
        <w:ind w:left="0" w:firstLine="0"/>
      </w:pPr>
    </w:p>
    <w:p>
      <w:pPr>
        <w:pStyle w:val="UPhx Body Text 2"/>
        <w:spacing w:before="0" w:after="0"/>
        <w:ind w:left="0" w:firstLine="0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>Grading Guide</w:t>
      </w:r>
    </w:p>
    <w:p>
      <w:pPr>
        <w:pStyle w:val="UPhx Body Text 2"/>
        <w:spacing w:before="0" w:after="0"/>
        <w:ind w:left="0" w:firstLine="0"/>
        <w:rPr>
          <w:b w:val="1"/>
          <w:bCs w:val="1"/>
          <w:sz w:val="24"/>
          <w:szCs w:val="24"/>
        </w:rPr>
      </w:pPr>
    </w:p>
    <w:tbl>
      <w:tblPr>
        <w:tblW w:w="10224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823"/>
        <w:gridCol w:w="790"/>
        <w:gridCol w:w="1135"/>
        <w:gridCol w:w="931"/>
        <w:gridCol w:w="2545"/>
      </w:tblGrid>
      <w:tr>
        <w:tblPrEx>
          <w:shd w:val="clear" w:color="auto" w:fill="ced7e7"/>
        </w:tblPrEx>
        <w:trPr>
          <w:trHeight w:val="663" w:hRule="atLeast"/>
        </w:trPr>
        <w:tc>
          <w:tcPr>
            <w:tcW w:type="dxa" w:w="4823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right" w:pos="5239"/>
              </w:tabs>
            </w:pPr>
            <w:r>
              <w:rPr>
                <w:b w:val="1"/>
                <w:bCs w:val="1"/>
                <w:i w:val="1"/>
                <w:iCs w:val="1"/>
                <w:rtl w:val="0"/>
                <w:lang w:val="en-US"/>
              </w:rPr>
              <w:t>Content</w:t>
              <w:tab/>
            </w:r>
            <w:r/>
          </w:p>
        </w:tc>
        <w:tc>
          <w:tcPr>
            <w:tcW w:type="dxa" w:w="790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c0c0c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i w:val="1"/>
                <w:iCs w:val="1"/>
                <w:rtl w:val="0"/>
                <w:lang w:val="en-US"/>
              </w:rPr>
              <w:t>Met</w:t>
            </w:r>
            <w:r/>
          </w:p>
        </w:tc>
        <w:tc>
          <w:tcPr>
            <w:tcW w:type="dxa" w:w="1134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c0c0c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i w:val="1"/>
                <w:iCs w:val="1"/>
                <w:rtl w:val="0"/>
                <w:lang w:val="en-US"/>
              </w:rPr>
              <w:t>Partially Met</w:t>
            </w:r>
          </w:p>
        </w:tc>
        <w:tc>
          <w:tcPr>
            <w:tcW w:type="dxa" w:w="930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c0c0c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i w:val="1"/>
                <w:iCs w:val="1"/>
                <w:rtl w:val="0"/>
                <w:lang w:val="en-US"/>
              </w:rPr>
              <w:t>Not Met</w:t>
            </w:r>
            <w:r/>
          </w:p>
        </w:tc>
        <w:tc>
          <w:tcPr>
            <w:tcW w:type="dxa" w:w="2544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c0c0c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rtl w:val="0"/>
                <w:lang w:val="en-US"/>
              </w:rPr>
              <w:t>Comments:</w:t>
            </w:r>
          </w:p>
        </w:tc>
      </w:tr>
      <w:tr>
        <w:tblPrEx>
          <w:shd w:val="clear" w:color="auto" w:fill="ced7e7"/>
        </w:tblPrEx>
        <w:trPr>
          <w:trHeight w:val="663" w:hRule="atLeast"/>
        </w:trPr>
        <w:tc>
          <w:tcPr>
            <w:tcW w:type="dxa" w:w="4823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3605"/>
              </w:tabs>
            </w:pPr>
            <w:r>
              <w:rPr>
                <w:rtl w:val="0"/>
                <w:lang w:val="en-US"/>
              </w:rPr>
              <w:t xml:space="preserve">Students select an organization the team is familiar with or an organization where a team member currently works.  </w:t>
            </w:r>
          </w:p>
        </w:tc>
        <w:tc>
          <w:tcPr>
            <w:tcW w:type="dxa" w:w="790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134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30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544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tl w:val="0"/>
                <w:lang w:val="en-US"/>
              </w:rPr>
              <w:t> </w:t>
            </w:r>
          </w:p>
        </w:tc>
      </w:tr>
      <w:tr>
        <w:tblPrEx>
          <w:shd w:val="clear" w:color="auto" w:fill="ced7e7"/>
        </w:tblPrEx>
        <w:trPr>
          <w:trHeight w:val="883" w:hRule="atLeast"/>
        </w:trPr>
        <w:tc>
          <w:tcPr>
            <w:tcW w:type="dxa" w:w="4823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3605"/>
              </w:tabs>
            </w:pPr>
            <w:r>
              <w:rPr>
                <w:rtl w:val="0"/>
                <w:lang w:val="en-US"/>
              </w:rPr>
              <w:t>Students identify the three key facts about short-run economic fluctuations and how the economy in the s</w:t>
            </w:r>
            <w:r>
              <w:rPr>
                <w:rtl w:val="0"/>
                <w:lang w:val="en-US"/>
              </w:rPr>
              <w:t>h</w:t>
            </w:r>
            <w:r>
              <w:rPr>
                <w:rtl w:val="0"/>
                <w:lang w:val="en-US"/>
              </w:rPr>
              <w:t>ort run differs from the economy in the long run.</w:t>
            </w:r>
          </w:p>
        </w:tc>
        <w:tc>
          <w:tcPr>
            <w:tcW w:type="dxa" w:w="790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134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30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544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883" w:hRule="atLeast"/>
        </w:trPr>
        <w:tc>
          <w:tcPr>
            <w:tcW w:type="dxa" w:w="4823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tl w:val="0"/>
                <w:lang w:val="en-US"/>
              </w:rPr>
              <w:t>Students explain economic fluctuations and how shifts in either aggregate demand or aggregate supply can cause booms and recessions using the model of aggregate demand and aggregate supply.</w:t>
            </w:r>
          </w:p>
        </w:tc>
        <w:tc>
          <w:tcPr>
            <w:tcW w:type="dxa" w:w="790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134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30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544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43" w:hRule="atLeast"/>
        </w:trPr>
        <w:tc>
          <w:tcPr>
            <w:tcW w:type="dxa" w:w="4823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tl w:val="0"/>
                <w:lang w:val="en-US"/>
              </w:rPr>
              <w:t>Students explain how monetary policy affects interest rates and aggregate demand.</w:t>
            </w:r>
          </w:p>
        </w:tc>
        <w:tc>
          <w:tcPr>
            <w:tcW w:type="dxa" w:w="790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134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30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544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43" w:hRule="atLeast"/>
        </w:trPr>
        <w:tc>
          <w:tcPr>
            <w:tcW w:type="dxa" w:w="4823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tl w:val="0"/>
                <w:lang w:val="en-US"/>
              </w:rPr>
              <w:t>Students analyze how fiscal policy affects interest rates and aggregate demand.</w:t>
            </w:r>
          </w:p>
        </w:tc>
        <w:tc>
          <w:tcPr>
            <w:tcW w:type="dxa" w:w="790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134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30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544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43" w:hRule="atLeast"/>
        </w:trPr>
        <w:tc>
          <w:tcPr>
            <w:tcW w:type="dxa" w:w="4823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tl w:val="0"/>
                <w:lang w:val="en-US"/>
              </w:rPr>
              <w:t>Students evaluate why policymakers face a short-run trade-off between inflation and unemployment.</w:t>
            </w:r>
          </w:p>
        </w:tc>
        <w:tc>
          <w:tcPr>
            <w:tcW w:type="dxa" w:w="790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134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30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544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43" w:hRule="atLeast"/>
        </w:trPr>
        <w:tc>
          <w:tcPr>
            <w:tcW w:type="dxa" w:w="4823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tl w:val="0"/>
                <w:lang w:val="en-US"/>
              </w:rPr>
              <w:t>Students evaluate why the inflation-unemployment trade-off disappears in the long run.</w:t>
            </w:r>
          </w:p>
        </w:tc>
        <w:tc>
          <w:tcPr>
            <w:tcW w:type="dxa" w:w="790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134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30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544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663" w:hRule="atLeast"/>
        </w:trPr>
        <w:tc>
          <w:tcPr>
            <w:tcW w:type="dxa" w:w="4823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3605"/>
              </w:tabs>
            </w:pPr>
            <w:r>
              <w:rPr>
                <w:rtl w:val="0"/>
                <w:lang w:val="en-US"/>
              </w:rPr>
              <w:t>Presentation consists of 15 to 20 slides and is appropriate for the audience. Speaker notes are required for each slide.</w:t>
            </w:r>
          </w:p>
        </w:tc>
        <w:tc>
          <w:tcPr>
            <w:tcW w:type="dxa" w:w="790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134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30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544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663" w:hRule="atLeast"/>
        </w:trPr>
        <w:tc>
          <w:tcPr>
            <w:tcW w:type="dxa" w:w="4823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3605"/>
              </w:tabs>
            </w:pPr>
            <w:r>
              <w:rPr>
                <w:rtl w:val="0"/>
                <w:lang w:val="en-US"/>
              </w:rPr>
              <w:t>The presentation includes relevant media and/or visual aids on each slide that are consistent with the content.</w:t>
            </w:r>
          </w:p>
        </w:tc>
        <w:tc>
          <w:tcPr>
            <w:tcW w:type="dxa" w:w="790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134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30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544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43" w:hRule="atLeast"/>
        </w:trPr>
        <w:tc>
          <w:tcPr>
            <w:tcW w:type="dxa" w:w="4823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90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134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b w:val="1"/>
                <w:bCs w:val="1"/>
                <w:i w:val="1"/>
                <w:iCs w:val="1"/>
                <w:rtl w:val="0"/>
                <w:lang w:val="en-US"/>
              </w:rPr>
              <w:t>Total Available</w:t>
            </w:r>
          </w:p>
        </w:tc>
        <w:tc>
          <w:tcPr>
            <w:tcW w:type="dxa" w:w="930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b w:val="1"/>
                <w:bCs w:val="1"/>
                <w:i w:val="1"/>
                <w:iCs w:val="1"/>
                <w:rtl w:val="0"/>
                <w:lang w:val="en-US"/>
              </w:rPr>
              <w:t>Total Earned</w:t>
            </w:r>
          </w:p>
        </w:tc>
        <w:tc>
          <w:tcPr>
            <w:tcW w:type="dxa" w:w="2544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23" w:hRule="atLeast"/>
        </w:trPr>
        <w:tc>
          <w:tcPr>
            <w:tcW w:type="dxa" w:w="4823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90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134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00cc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b w:val="1"/>
                <w:bCs w:val="1"/>
                <w:i w:val="1"/>
                <w:iCs w:val="1"/>
                <w:color w:val="ff0000"/>
                <w:u w:color="ff0000"/>
                <w:rtl w:val="0"/>
                <w:lang w:val="en-US"/>
              </w:rPr>
              <w:t>9</w:t>
            </w:r>
          </w:p>
        </w:tc>
        <w:tc>
          <w:tcPr>
            <w:tcW w:type="dxa" w:w="930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00cc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tl w:val="0"/>
                <w:lang w:val="en-US"/>
              </w:rPr>
              <w:t>#/</w:t>
            </w:r>
            <w:r>
              <w:rPr>
                <w:color w:val="ff0000"/>
                <w:u w:color="ff0000"/>
                <w:rtl w:val="0"/>
                <w:lang w:val="en-US"/>
              </w:rPr>
              <w:t>X</w:t>
            </w:r>
          </w:p>
        </w:tc>
        <w:tc>
          <w:tcPr>
            <w:tcW w:type="dxa" w:w="2544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43" w:hRule="atLeast"/>
        </w:trPr>
        <w:tc>
          <w:tcPr>
            <w:tcW w:type="dxa" w:w="4823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center" w:pos="2619"/>
              </w:tabs>
            </w:pPr>
            <w:r>
              <w:rPr>
                <w:b w:val="1"/>
                <w:bCs w:val="1"/>
                <w:i w:val="1"/>
                <w:iCs w:val="1"/>
                <w:rtl w:val="0"/>
                <w:lang w:val="en-US"/>
              </w:rPr>
              <w:t>Presentation Guidelines</w:t>
            </w:r>
            <w:r/>
          </w:p>
        </w:tc>
        <w:tc>
          <w:tcPr>
            <w:tcW w:type="dxa" w:w="790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c0c0c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i w:val="1"/>
                <w:iCs w:val="1"/>
                <w:rtl w:val="0"/>
                <w:lang w:val="en-US"/>
              </w:rPr>
              <w:t>Met</w:t>
            </w:r>
            <w:r>
              <w:rPr>
                <w:i w:val="1"/>
                <w:iCs w:val="1"/>
              </w:rPr>
            </w:r>
          </w:p>
        </w:tc>
        <w:tc>
          <w:tcPr>
            <w:tcW w:type="dxa" w:w="1134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c0c0c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i w:val="1"/>
                <w:iCs w:val="1"/>
                <w:rtl w:val="0"/>
                <w:lang w:val="en-US"/>
              </w:rPr>
              <w:t>Partially Met</w:t>
            </w:r>
          </w:p>
        </w:tc>
        <w:tc>
          <w:tcPr>
            <w:tcW w:type="dxa" w:w="930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c0c0c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i w:val="1"/>
                <w:iCs w:val="1"/>
                <w:rtl w:val="0"/>
                <w:lang w:val="en-US"/>
              </w:rPr>
              <w:t>Not Met</w:t>
            </w:r>
            <w:r/>
          </w:p>
        </w:tc>
        <w:tc>
          <w:tcPr>
            <w:tcW w:type="dxa" w:w="2544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c0c0c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rtl w:val="0"/>
                <w:lang w:val="en-US"/>
              </w:rPr>
              <w:t>Comments:</w:t>
            </w:r>
          </w:p>
        </w:tc>
      </w:tr>
      <w:tr>
        <w:tblPrEx>
          <w:shd w:val="clear" w:color="auto" w:fill="ced7e7"/>
        </w:tblPrEx>
        <w:trPr>
          <w:trHeight w:val="883" w:hRule="atLeast"/>
        </w:trPr>
        <w:tc>
          <w:tcPr>
            <w:tcW w:type="dxa" w:w="4823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tl w:val="0"/>
                <w:lang w:val="en-US"/>
              </w:rPr>
              <w:t>The presentation is laid out with effective use of headings, font styles, font sizes, and white space. (Font style, size and background are consistent throughout the entire presentation.)</w:t>
            </w:r>
          </w:p>
        </w:tc>
        <w:tc>
          <w:tcPr>
            <w:tcW w:type="dxa" w:w="790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134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30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544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663" w:hRule="atLeast"/>
        </w:trPr>
        <w:tc>
          <w:tcPr>
            <w:tcW w:type="dxa" w:w="4823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tl w:val="0"/>
                <w:lang w:val="en-US"/>
              </w:rPr>
              <w:t>Intellectual property is recognized with in-text citations and a reference slide.  Minimum of three peer-reviewed references included.</w:t>
            </w:r>
          </w:p>
        </w:tc>
        <w:tc>
          <w:tcPr>
            <w:tcW w:type="dxa" w:w="790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134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30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544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43" w:hRule="atLeast"/>
        </w:trPr>
        <w:tc>
          <w:tcPr>
            <w:tcW w:type="dxa" w:w="4823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tl w:val="0"/>
                <w:lang w:val="en-US"/>
              </w:rPr>
              <w:t>The presentation includes an introduction and conclusion that preview and review major points.</w:t>
            </w:r>
          </w:p>
        </w:tc>
        <w:tc>
          <w:tcPr>
            <w:tcW w:type="dxa" w:w="790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134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30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544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663" w:hRule="atLeast"/>
        </w:trPr>
        <w:tc>
          <w:tcPr>
            <w:tcW w:type="dxa" w:w="4823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tl w:val="0"/>
                <w:lang w:val="en-US"/>
              </w:rPr>
              <w:t>Major points are stated clearly; are supported by specific details, examples, or analysis; and are organized logically.</w:t>
            </w:r>
          </w:p>
        </w:tc>
        <w:tc>
          <w:tcPr>
            <w:tcW w:type="dxa" w:w="790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134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30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544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43" w:hRule="atLeast"/>
        </w:trPr>
        <w:tc>
          <w:tcPr>
            <w:tcW w:type="dxa" w:w="4823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tl w:val="0"/>
                <w:lang w:val="en-US"/>
              </w:rPr>
              <w:t>Rules of grammar and usage are followed including spelling and punctuation.</w:t>
            </w:r>
          </w:p>
        </w:tc>
        <w:tc>
          <w:tcPr>
            <w:tcW w:type="dxa" w:w="790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134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30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544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663" w:hRule="atLeast"/>
        </w:trPr>
        <w:tc>
          <w:tcPr>
            <w:tcW w:type="dxa" w:w="4823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tl w:val="0"/>
                <w:lang w:val="en-US"/>
              </w:rPr>
              <w:t>Learning team includes a class activity with their presentation.  The goal of the activity is to involve their classmates (audience) in their presentation.</w:t>
            </w:r>
          </w:p>
        </w:tc>
        <w:tc>
          <w:tcPr>
            <w:tcW w:type="dxa" w:w="790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134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30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544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43" w:hRule="atLeast"/>
        </w:trPr>
        <w:tc>
          <w:tcPr>
            <w:tcW w:type="dxa" w:w="4823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90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134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b w:val="1"/>
                <w:bCs w:val="1"/>
                <w:i w:val="1"/>
                <w:iCs w:val="1"/>
                <w:rtl w:val="0"/>
                <w:lang w:val="en-US"/>
              </w:rPr>
              <w:t>Total Available</w:t>
            </w:r>
          </w:p>
        </w:tc>
        <w:tc>
          <w:tcPr>
            <w:tcW w:type="dxa" w:w="930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b w:val="1"/>
                <w:bCs w:val="1"/>
                <w:i w:val="1"/>
                <w:iCs w:val="1"/>
                <w:rtl w:val="0"/>
                <w:lang w:val="en-US"/>
              </w:rPr>
              <w:t>Total Earned</w:t>
            </w:r>
          </w:p>
        </w:tc>
        <w:tc>
          <w:tcPr>
            <w:tcW w:type="dxa" w:w="2544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23" w:hRule="atLeast"/>
        </w:trPr>
        <w:tc>
          <w:tcPr>
            <w:tcW w:type="dxa" w:w="4823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tl w:val="0"/>
                <w:lang w:val="en-US"/>
              </w:rPr>
              <w:t> </w:t>
            </w:r>
          </w:p>
        </w:tc>
        <w:tc>
          <w:tcPr>
            <w:tcW w:type="dxa" w:w="790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134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00cc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b w:val="1"/>
                <w:bCs w:val="1"/>
                <w:i w:val="1"/>
                <w:iCs w:val="1"/>
                <w:color w:val="ff0000"/>
                <w:u w:color="ff0000"/>
                <w:rtl w:val="0"/>
                <w:lang w:val="en-US"/>
              </w:rPr>
              <w:t>6</w:t>
            </w:r>
          </w:p>
        </w:tc>
        <w:tc>
          <w:tcPr>
            <w:tcW w:type="dxa" w:w="930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00cc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tl w:val="0"/>
                <w:lang w:val="en-US"/>
              </w:rPr>
              <w:t>#/</w:t>
            </w:r>
            <w:r>
              <w:rPr>
                <w:color w:val="ff0000"/>
                <w:u w:color="ff0000"/>
                <w:rtl w:val="0"/>
                <w:lang w:val="en-US"/>
              </w:rPr>
              <w:t>X</w:t>
            </w:r>
          </w:p>
        </w:tc>
        <w:tc>
          <w:tcPr>
            <w:tcW w:type="dxa" w:w="2544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tl w:val="0"/>
                <w:lang w:val="en-US"/>
              </w:rPr>
              <w:t> </w:t>
            </w:r>
          </w:p>
        </w:tc>
      </w:tr>
      <w:tr>
        <w:tblPrEx>
          <w:shd w:val="clear" w:color="auto" w:fill="ced7e7"/>
        </w:tblPrEx>
        <w:trPr>
          <w:trHeight w:val="223" w:hRule="atLeast"/>
        </w:trPr>
        <w:tc>
          <w:tcPr>
            <w:tcW w:type="dxa" w:w="4823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tabs>
                <w:tab w:val="left" w:pos="3605"/>
              </w:tabs>
              <w:jc w:val="right"/>
            </w:pPr>
            <w:r>
              <w:rPr>
                <w:b w:val="1"/>
                <w:bCs w:val="1"/>
                <w:rtl w:val="0"/>
                <w:lang w:val="en-US"/>
              </w:rPr>
              <w:t>Assignment Total</w:t>
            </w:r>
          </w:p>
        </w:tc>
        <w:tc>
          <w:tcPr>
            <w:tcW w:type="dxa" w:w="790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b w:val="1"/>
                <w:bCs w:val="1"/>
                <w:rtl w:val="0"/>
                <w:lang w:val="en-US"/>
              </w:rPr>
              <w:t>#</w:t>
            </w:r>
          </w:p>
        </w:tc>
        <w:tc>
          <w:tcPr>
            <w:tcW w:type="dxa" w:w="1134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b w:val="1"/>
                <w:bCs w:val="1"/>
                <w:color w:val="ff0000"/>
                <w:u w:color="ff0000"/>
                <w:rtl w:val="0"/>
                <w:lang w:val="en-US"/>
              </w:rPr>
              <w:t>15</w:t>
            </w:r>
          </w:p>
        </w:tc>
        <w:tc>
          <w:tcPr>
            <w:tcW w:type="dxa" w:w="930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b w:val="1"/>
                <w:bCs w:val="1"/>
                <w:color w:val="000000"/>
                <w:u w:color="000000"/>
                <w:rtl w:val="0"/>
                <w:lang w:val="en-US"/>
              </w:rPr>
              <w:t>#/</w:t>
            </w:r>
            <w:r>
              <w:rPr>
                <w:b w:val="1"/>
                <w:bCs w:val="1"/>
                <w:color w:val="ff0000"/>
                <w:u w:color="ff0000"/>
                <w:rtl w:val="0"/>
                <w:lang w:val="en-US"/>
              </w:rPr>
              <w:t>X</w:t>
            </w:r>
          </w:p>
        </w:tc>
        <w:tc>
          <w:tcPr>
            <w:tcW w:type="dxa" w:w="2544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883" w:hRule="atLeast"/>
        </w:trPr>
        <w:tc>
          <w:tcPr>
            <w:tcW w:type="dxa" w:w="10224"/>
            <w:gridSpan w:val="5"/>
            <w:tcBorders>
              <w:top w:val="single" w:color="808080" w:sz="4" w:space="0" w:shadow="0" w:frame="0"/>
              <w:left w:val="single" w:color="808080" w:sz="4" w:space="0" w:shadow="0" w:frame="0"/>
              <w:bottom w:val="single" w:color="808080" w:sz="4" w:space="0" w:shadow="0" w:frame="0"/>
              <w:right w:val="single" w:color="80808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3605"/>
              </w:tabs>
            </w:pPr>
            <w:r>
              <w:rPr>
                <w:rtl w:val="0"/>
                <w:lang w:val="en-US"/>
              </w:rPr>
              <w:t>Additional comments:</w:t>
            </w:r>
          </w:p>
          <w:p>
            <w:pPr>
              <w:pStyle w:val="Normal.0"/>
              <w:tabs>
                <w:tab w:val="left" w:pos="3605"/>
              </w:tabs>
              <w:rPr>
                <w:lang w:val="en-US"/>
              </w:rPr>
            </w:pPr>
          </w:p>
          <w:p>
            <w:pPr>
              <w:pStyle w:val="Normal.0"/>
              <w:tabs>
                <w:tab w:val="left" w:pos="3605"/>
              </w:tabs>
            </w:pPr>
            <w:r>
              <w:rPr>
                <w:lang w:val="en-US"/>
              </w:rPr>
            </w:r>
          </w:p>
        </w:tc>
      </w:tr>
    </w:tbl>
    <w:p>
      <w:pPr>
        <w:pStyle w:val="UPhx Body Text 2"/>
        <w:widowControl w:val="0"/>
        <w:spacing w:before="0" w:after="0"/>
        <w:ind w:left="0" w:firstLine="0"/>
        <w:jc w:val="center"/>
      </w:pPr>
      <w:r>
        <w:rPr>
          <w:b w:val="1"/>
          <w:bCs w:val="1"/>
          <w:sz w:val="24"/>
          <w:szCs w:val="24"/>
        </w:rPr>
      </w:r>
    </w:p>
    <w:sectPr>
      <w:headerReference w:type="default" r:id="rId4"/>
      <w:footerReference w:type="default" r:id="rId5"/>
      <w:pgSz w:w="12240" w:h="15840" w:orient="portrait"/>
      <w:pgMar w:top="1440" w:right="1008" w:bottom="1440" w:left="1008" w:header="720" w:footer="432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Normal.0"/>
      <w:widowControl w:val="0"/>
      <w:tabs>
        <w:tab w:val="center" w:pos="4680"/>
        <w:tab w:val="right" w:pos="9360"/>
      </w:tabs>
      <w:jc w:val="center"/>
    </w:pPr>
    <w:r>
      <w:rPr>
        <w:color w:val="000000"/>
        <w:sz w:val="16"/>
        <w:szCs w:val="16"/>
        <w:u w:color="000000"/>
        <w:rtl w:val="0"/>
        <w:lang w:val="en-US"/>
      </w:rPr>
      <w:t xml:space="preserve">Copyright </w:t>
    </w:r>
    <w:r>
      <w:rPr>
        <w:color w:val="000000"/>
        <w:sz w:val="16"/>
        <w:szCs w:val="16"/>
        <w:u w:color="000000"/>
        <w:rtl w:val="0"/>
        <w:lang w:val="en-US"/>
      </w:rPr>
      <w:t xml:space="preserve">© </w:t>
    </w:r>
    <w:r>
      <w:rPr>
        <w:color w:val="000000"/>
        <w:sz w:val="16"/>
        <w:szCs w:val="16"/>
        <w:u w:color="000000"/>
        <w:rtl w:val="0"/>
        <w:lang w:val="en-US"/>
      </w:rPr>
      <w:t>2016 by University of Phoenix. All rights reserved.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"/>
      <w:jc w:val="right"/>
    </w:pPr>
    <w:r>
      <w:rPr>
        <w:rtl w:val="0"/>
        <w:lang w:val="en-US"/>
      </w:rPr>
      <w:t>Short-Run Economic Fluctuations</w:t>
    </w:r>
    <w:r>
      <w:rPr>
        <w:color w:val="ff0000"/>
        <w:u w:color="ff0000"/>
        <w:rtl w:val="0"/>
        <w:lang w:val="en-US"/>
      </w:rPr>
      <w:t xml:space="preserve"> </w:t>
    </w:r>
    <w:r>
      <w:rPr>
        <w:rtl w:val="0"/>
        <w:lang w:val="en-US"/>
      </w:rPr>
      <w:t>Grading Guide</w:t>
    </w:r>
  </w:p>
  <w:p>
    <w:pPr>
      <w:pStyle w:val="Header"/>
    </w:pPr>
    <w:r>
      <w:rPr>
        <w:rtl w:val="0"/>
        <w:lang w:val="en-US"/>
      </w:rPr>
      <w:t>ECO/372 Version 9</w:t>
      <w:tab/>
    </w:r>
    <w:r>
      <w:rPr>
        <w:rtl w:val="0"/>
        <w:lang w:val="en-US"/>
      </w:rPr>
      <w:fldChar w:fldCharType="begin" w:fldLock="0"/>
    </w:r>
    <w:r>
      <w:rPr>
        <w:rtl w:val="0"/>
        <w:lang w:val="en-US"/>
      </w:rPr>
      <w:instrText xml:space="preserve"> PAGE </w:instrText>
    </w:r>
    <w:r>
      <w:rPr>
        <w:rtl w:val="0"/>
        <w:lang w:val="en-US"/>
      </w:rPr>
      <w:fldChar w:fldCharType="separate" w:fldLock="0"/>
    </w:r>
    <w:r>
      <w:rPr>
        <w:rtl w:val="0"/>
        <w:lang w:val="en-US"/>
      </w:rPr>
      <w:t>1</w:t>
    </w:r>
    <w:r>
      <w:rPr>
        <w:rtl w:val="0"/>
        <w:lang w:val="en-US"/>
      </w:rPr>
      <w:fldChar w:fldCharType="end" w:fldLock="0"/>
    </w:r>
    <w:r>
      <w:rPr>
        <w:rtl w:val="0"/>
        <w:lang w:val="en-US"/>
      </w:rPr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320"/>
        <w:tab w:val="right" w:pos="864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  <w:lang w:val="en-US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  <w:lang w:val="en-US"/>
    </w:rPr>
  </w:style>
  <w:style w:type="character" w:styleId="Hyperlink.0">
    <w:name w:val="Hyperlink.0"/>
    <w:basedOn w:val="Hyperlink"/>
    <w:next w:val="Hyperlink.0"/>
    <w:rPr>
      <w:color w:val="0563c1"/>
      <w:u w:val="single" w:color="0563c1"/>
    </w:rPr>
  </w:style>
  <w:style w:type="paragraph" w:styleId="UPhx Body Text 2">
    <w:name w:val="UPhx Body Text 2"/>
    <w:next w:val="UPhx Body Text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60" w:after="60" w:line="240" w:lineRule="auto"/>
      <w:ind w:left="360" w:right="0" w:firstLine="0"/>
      <w:jc w:val="left"/>
      <w:outlineLvl w:val="9"/>
    </w:pPr>
    <w:rPr>
      <w:rFonts w:ascii="Arial" w:cs="Arial" w:hAnsi="Arial" w:eastAsia="Arial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  <w:lang w:val="en-US"/>
    </w:r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ettings" Target="settings.xml"/>
  <Relationship Id="rId2" Type="http://schemas.openxmlformats.org/officeDocument/2006/relationships/fontTable" Target="fontTable.xml"/>
  <Relationship Id="rId3" Type="http://schemas.openxmlformats.org/officeDocument/2006/relationships/styles" Target="styles.xml"/>
  <Relationship Id="rId4" Type="http://schemas.openxmlformats.org/officeDocument/2006/relationships/header" Target="header1.xml"/>
  <Relationship Id="rId5" Type="http://schemas.openxmlformats.org/officeDocument/2006/relationships/footer" Target="footer1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/>
  <Manager/>
  <TotalTime>0</TotalTime>
  <Application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